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Авторизация</w:t>
      </w:r>
    </w:p>
    <w:p w:rsidR="00000000" w:rsidDel="00000000" w:rsidP="00000000" w:rsidRDefault="00000000" w:rsidRPr="00000000" w14:paraId="00000002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  <w:t xml:space="preserve">Осуществляется при помощи аккаунта GitHub.</w:t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  <w:t xml:space="preserve">Для авторизации следует нажать на иконку в правом-верхнем углу экрана.</w:t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108200"/>
            <wp:effectExtent b="0" l="0" r="0" t="0"/>
            <wp:docPr id="10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  <w:t xml:space="preserve">После этого GitHub предложит выбрать аккаунт, который будет использоваться для авторизации.</w:t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  <w:t xml:space="preserve">По завершении авторизации GitHub перенаправит пользователя на сайт Реестра.</w:t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  <w:t xml:space="preserve">Индикатором успешной авторизации станет наличие рядом с иконкой в правом-верхнем имени пользователя.</w:t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501900"/>
            <wp:effectExtent b="0" l="0" r="0" t="0"/>
            <wp:docPr id="13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  <w:t xml:space="preserve">Теперь, при наведении на имя пользователя/иконку будет появляться всплывающее меню для навигации по личному кабинету.</w:t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730500"/>
            <wp:effectExtent b="0" l="0" r="0" t="0"/>
            <wp:docPr id="12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sz w:val="30"/>
          <w:szCs w:val="30"/>
          <w:rtl w:val="0"/>
        </w:rPr>
        <w:t xml:space="preserve">Личные данные студента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  <w:t xml:space="preserve">Далее студенту следует заполнить свои личные данные.</w:t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  <w:t xml:space="preserve">Для этого следует нажать на “Мой профиль”. Пользователь увидит следующее:</w:t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857500"/>
            <wp:effectExtent b="0" l="0" r="0" t="0"/>
            <wp:docPr id="15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  <w:t xml:space="preserve">При нажатии на “Настройки профиля” (красная стрелка) или “Заполнить личные данные” (зелёная стрелка), пользователя перенаправит на страницу настройки личных данных:</w:t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794000"/>
            <wp:effectExtent b="0" l="0" r="0" t="0"/>
            <wp:docPr id="3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  <w:t xml:space="preserve">Здесь пользователю стоит прежде всего E-mail (корпоративная почта), которая нужна для корректной работы системы. Также можно ввести ФИО (для правильного отображения в сервисе) и телефон (не используется в сервисе, только для контакта с руководителями).</w:t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  <w:t xml:space="preserve">Теперь личные данные будут отображаться в личном кабинете (красная карточка с предупреждением сменится на демонстрацию личных данных).</w:t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781300"/>
            <wp:effectExtent b="0" l="0" r="0" t="0"/>
            <wp:docPr id="1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sz w:val="30"/>
          <w:szCs w:val="30"/>
          <w:rtl w:val="0"/>
        </w:rPr>
        <w:t xml:space="preserve">Анкеты пользователя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  <w:t xml:space="preserve">В итерации Весны-2024 нет необходимости в прохождении анкеты через личный кабинет, потому что студенты их уже прошли по ссылке на гугл форму.</w:t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  <w:t xml:space="preserve">Все результаты этого прохождения сохранены и будут импортированы в начале марта. После этого можно будет заново пройти анкету через личный кабинет. Это не повлияет на распределение в этом семестре, но может быть использовано в следующих.</w:t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>
          <w:rtl w:val="0"/>
        </w:rPr>
        <w:t xml:space="preserve">Старые результаты прохождения не удаляются из базы данных (актуальным считается самый недавний результат).</w:t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Распределение на команды</w:t>
      </w:r>
    </w:p>
    <w:p w:rsidR="00000000" w:rsidDel="00000000" w:rsidP="00000000" w:rsidRDefault="00000000" w:rsidRPr="00000000" w14:paraId="00000061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>
          <w:rtl w:val="0"/>
        </w:rPr>
        <w:t xml:space="preserve">На основе результатов прохождения анкет руководители распределяют студентов на команды.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419100</wp:posOffset>
            </wp:positionV>
            <wp:extent cx="5572171" cy="3189032"/>
            <wp:effectExtent b="0" l="0" r="0" t="0"/>
            <wp:wrapNone/>
            <wp:docPr id="16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72171" cy="318903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>
          <w:rtl w:val="0"/>
        </w:rPr>
        <w:t xml:space="preserve">После этого пользователь в личном кабинете сможет увидеть команду, в которую он распределён.</w:t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857500"/>
            <wp:effectExtent b="0" l="0" r="0" t="0"/>
            <wp:docPr id="1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/>
      </w:pPr>
      <w:r w:rsidDel="00000000" w:rsidR="00000000" w:rsidRPr="00000000">
        <w:rPr>
          <w:rtl w:val="0"/>
        </w:rPr>
        <w:t xml:space="preserve">Во вкладке “Команды” (зелёная стрелка) также появится команда.</w:t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/>
      </w:pPr>
      <w:r w:rsidDel="00000000" w:rsidR="00000000" w:rsidRPr="00000000">
        <w:rPr>
          <w:rtl w:val="0"/>
        </w:rPr>
        <w:t xml:space="preserve">Студент во вкладке “Команды” сможет написать свою роль в команде по нажатию на иконку карандаша (красная стрелка).</w:t>
      </w:r>
    </w:p>
    <w:p w:rsidR="00000000" w:rsidDel="00000000" w:rsidP="00000000" w:rsidRDefault="00000000" w:rsidRPr="00000000" w14:paraId="0000007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971800"/>
            <wp:effectExtent b="0" l="0" r="0" t="0"/>
            <wp:docPr id="5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/>
      </w:pPr>
      <w:r w:rsidDel="00000000" w:rsidR="00000000" w:rsidRPr="00000000">
        <w:rPr>
          <w:rtl w:val="0"/>
        </w:rPr>
        <w:t xml:space="preserve">Появится поле, в котором можно указать свою роль:</w:t>
      </w:r>
    </w:p>
    <w:p w:rsidR="00000000" w:rsidDel="00000000" w:rsidP="00000000" w:rsidRDefault="00000000" w:rsidRPr="00000000" w14:paraId="0000008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616200"/>
            <wp:effectExtent b="0" l="0" r="0" t="0"/>
            <wp:docPr id="8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rPr/>
      </w:pPr>
      <w:r w:rsidDel="00000000" w:rsidR="00000000" w:rsidRPr="00000000">
        <w:rPr>
          <w:rtl w:val="0"/>
        </w:rPr>
        <w:t xml:space="preserve">Представители команды могут редактировать роли любых студентов команды. Остальные студенты могут редактировать только свою роль.</w:t>
      </w:r>
    </w:p>
    <w:p w:rsidR="00000000" w:rsidDel="00000000" w:rsidP="00000000" w:rsidRDefault="00000000" w:rsidRPr="00000000" w14:paraId="0000008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Представители команды</w:t>
      </w:r>
    </w:p>
    <w:p w:rsidR="00000000" w:rsidDel="00000000" w:rsidP="00000000" w:rsidRDefault="00000000" w:rsidRPr="00000000" w14:paraId="0000008B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rPr/>
      </w:pPr>
      <w:r w:rsidDel="00000000" w:rsidR="00000000" w:rsidRPr="00000000">
        <w:rPr>
          <w:rtl w:val="0"/>
        </w:rPr>
        <w:t xml:space="preserve">Руководители могут указать “Представителя команды”, у которого будут доступны дополнительные возможности взаимодействия с сервисом (подача заявок, загрузка отчётов, и т.д.).</w:t>
      </w:r>
    </w:p>
    <w:p w:rsidR="00000000" w:rsidDel="00000000" w:rsidP="00000000" w:rsidRDefault="00000000" w:rsidRPr="00000000" w14:paraId="0000008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rPr/>
      </w:pPr>
      <w:r w:rsidDel="00000000" w:rsidR="00000000" w:rsidRPr="00000000">
        <w:rPr>
          <w:rtl w:val="0"/>
        </w:rPr>
        <w:t xml:space="preserve">Индикатор наличия таких возможностей - подсказка в личном кабинете: “Вы являетесь представителем команды” (красная стрелка)</w:t>
      </w:r>
    </w:p>
    <w:p w:rsidR="00000000" w:rsidDel="00000000" w:rsidP="00000000" w:rsidRDefault="00000000" w:rsidRPr="00000000" w14:paraId="00000090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114300</wp:posOffset>
            </wp:positionV>
            <wp:extent cx="4652963" cy="2388909"/>
            <wp:effectExtent b="0" l="0" r="0" t="0"/>
            <wp:wrapNone/>
            <wp:docPr id="7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52963" cy="2388909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9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Назначение на проект</w:t>
      </w:r>
    </w:p>
    <w:p w:rsidR="00000000" w:rsidDel="00000000" w:rsidP="00000000" w:rsidRDefault="00000000" w:rsidRPr="00000000" w14:paraId="000000B2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rPr/>
      </w:pPr>
      <w:r w:rsidDel="00000000" w:rsidR="00000000" w:rsidRPr="00000000">
        <w:rPr>
          <w:rtl w:val="0"/>
        </w:rPr>
        <w:t xml:space="preserve">Назначение на проект производится руководителями.</w:t>
      </w:r>
    </w:p>
    <w:p w:rsidR="00000000" w:rsidDel="00000000" w:rsidP="00000000" w:rsidRDefault="00000000" w:rsidRPr="00000000" w14:paraId="000000B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rPr/>
      </w:pPr>
      <w:r w:rsidDel="00000000" w:rsidR="00000000" w:rsidRPr="00000000">
        <w:rPr>
          <w:rtl w:val="0"/>
        </w:rPr>
        <w:t xml:space="preserve">Посмотреть назначенный команде проект можно в личном кабинете:</w:t>
      </w:r>
    </w:p>
    <w:p w:rsidR="00000000" w:rsidDel="00000000" w:rsidP="00000000" w:rsidRDefault="00000000" w:rsidRPr="00000000" w14:paraId="000000B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24200"/>
            <wp:effectExtent b="0" l="0" r="0" t="0"/>
            <wp:docPr id="6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02000"/>
            <wp:effectExtent b="0" l="0" r="0" t="0"/>
            <wp:docPr id="9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rPr/>
      </w:pPr>
      <w:r w:rsidDel="00000000" w:rsidR="00000000" w:rsidRPr="00000000">
        <w:rPr>
          <w:sz w:val="30"/>
          <w:szCs w:val="30"/>
          <w:rtl w:val="0"/>
        </w:rPr>
        <w:t xml:space="preserve">Загрузка файлов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rPr/>
      </w:pPr>
      <w:r w:rsidDel="00000000" w:rsidR="00000000" w:rsidRPr="00000000">
        <w:rPr>
          <w:rtl w:val="0"/>
        </w:rPr>
        <w:t xml:space="preserve">Осуществляется тимлидами (представителями команды) в личном кабинете во вкладке “Проекты”.</w:t>
      </w:r>
    </w:p>
    <w:p w:rsidR="00000000" w:rsidDel="00000000" w:rsidP="00000000" w:rsidRDefault="00000000" w:rsidRPr="00000000" w14:paraId="000000B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908300"/>
            <wp:effectExtent b="0" l="0" r="0" t="0"/>
            <wp:docPr id="18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rPr/>
      </w:pPr>
      <w:r w:rsidDel="00000000" w:rsidR="00000000" w:rsidRPr="00000000">
        <w:rPr>
          <w:rtl w:val="0"/>
        </w:rPr>
        <w:t xml:space="preserve">По нажатию на кнопку “Редактировать”, появится панель, в которой можно выбрать файл для добавления. </w:t>
      </w:r>
      <w:r w:rsidDel="00000000" w:rsidR="00000000" w:rsidRPr="00000000">
        <w:rPr/>
        <w:drawing>
          <wp:inline distB="114300" distT="114300" distL="114300" distR="114300">
            <wp:extent cx="5943600" cy="1333500"/>
            <wp:effectExtent b="0" l="0" r="0" t="0"/>
            <wp:docPr id="14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3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rPr/>
      </w:pPr>
      <w:r w:rsidDel="00000000" w:rsidR="00000000" w:rsidRPr="00000000">
        <w:rPr>
          <w:rtl w:val="0"/>
        </w:rPr>
        <w:t xml:space="preserve">Помимо самого файла, следует выбрать и его тип (из предложенных вариантов).</w:t>
      </w:r>
    </w:p>
    <w:p w:rsidR="00000000" w:rsidDel="00000000" w:rsidP="00000000" w:rsidRDefault="00000000" w:rsidRPr="00000000" w14:paraId="000000C1">
      <w:pPr>
        <w:rPr/>
      </w:pPr>
      <w:r w:rsidDel="00000000" w:rsidR="00000000" w:rsidRPr="00000000">
        <w:rPr>
          <w:rtl w:val="0"/>
        </w:rPr>
        <w:t xml:space="preserve">Добавленные файлы будут отображаться под панелью добавления.</w:t>
      </w:r>
      <w:r w:rsidDel="00000000" w:rsidR="00000000" w:rsidRPr="00000000">
        <w:rPr/>
        <w:drawing>
          <wp:inline distB="114300" distT="114300" distL="114300" distR="114300">
            <wp:extent cx="5943600" cy="1727200"/>
            <wp:effectExtent b="0" l="0" r="0" t="0"/>
            <wp:docPr id="19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Если нужно будет заменить файл, можно нажать на крестик справа от файла и добавить новый.</w:t>
      </w:r>
    </w:p>
    <w:p w:rsidR="00000000" w:rsidDel="00000000" w:rsidP="00000000" w:rsidRDefault="00000000" w:rsidRPr="00000000" w14:paraId="000000C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rPr/>
      </w:pPr>
      <w:r w:rsidDel="00000000" w:rsidR="00000000" w:rsidRPr="00000000">
        <w:rPr>
          <w:sz w:val="30"/>
          <w:szCs w:val="30"/>
          <w:rtl w:val="0"/>
        </w:rPr>
        <w:t xml:space="preserve">Добавление ссылок на ресурсы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rPr/>
      </w:pPr>
      <w:r w:rsidDel="00000000" w:rsidR="00000000" w:rsidRPr="00000000">
        <w:rPr>
          <w:rtl w:val="0"/>
        </w:rPr>
        <w:t xml:space="preserve">Во вкладке “Ссылки на ресурсы” указываются используемые командой ресурсы из списка поддерживаемых:</w:t>
      </w:r>
    </w:p>
    <w:p w:rsidR="00000000" w:rsidDel="00000000" w:rsidP="00000000" w:rsidRDefault="00000000" w:rsidRPr="00000000" w14:paraId="000000C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993900"/>
            <wp:effectExtent b="0" l="0" r="0" t="0"/>
            <wp:docPr id="4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485900"/>
            <wp:effectExtent b="0" l="0" r="0" t="0"/>
            <wp:docPr id="2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rPr/>
      </w:pPr>
      <w:r w:rsidDel="00000000" w:rsidR="00000000" w:rsidRPr="00000000">
        <w:rPr>
          <w:rtl w:val="0"/>
        </w:rPr>
        <w:t xml:space="preserve">Любой указанный ресурс можно удалить нажатием на крестик рядом с его строкой (красная стрелка)</w:t>
      </w:r>
      <w:r w:rsidDel="00000000" w:rsidR="00000000" w:rsidRPr="00000000">
        <w:rPr/>
        <w:drawing>
          <wp:inline distB="114300" distT="114300" distL="114300" distR="114300">
            <wp:extent cx="5943600" cy="1612900"/>
            <wp:effectExtent b="0" l="0" r="0" t="0"/>
            <wp:docPr id="17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5.png"/><Relationship Id="rId11" Type="http://schemas.openxmlformats.org/officeDocument/2006/relationships/image" Target="media/image2.png"/><Relationship Id="rId22" Type="http://schemas.openxmlformats.org/officeDocument/2006/relationships/image" Target="media/image11.png"/><Relationship Id="rId10" Type="http://schemas.openxmlformats.org/officeDocument/2006/relationships/image" Target="media/image13.png"/><Relationship Id="rId21" Type="http://schemas.openxmlformats.org/officeDocument/2006/relationships/image" Target="media/image7.png"/><Relationship Id="rId13" Type="http://schemas.openxmlformats.org/officeDocument/2006/relationships/image" Target="media/image3.png"/><Relationship Id="rId24" Type="http://schemas.openxmlformats.org/officeDocument/2006/relationships/image" Target="media/image17.png"/><Relationship Id="rId12" Type="http://schemas.openxmlformats.org/officeDocument/2006/relationships/image" Target="media/image1.png"/><Relationship Id="rId23" Type="http://schemas.openxmlformats.org/officeDocument/2006/relationships/image" Target="media/image14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6.png"/><Relationship Id="rId15" Type="http://schemas.openxmlformats.org/officeDocument/2006/relationships/image" Target="media/image9.png"/><Relationship Id="rId14" Type="http://schemas.openxmlformats.org/officeDocument/2006/relationships/image" Target="media/image4.png"/><Relationship Id="rId17" Type="http://schemas.openxmlformats.org/officeDocument/2006/relationships/image" Target="media/image8.png"/><Relationship Id="rId16" Type="http://schemas.openxmlformats.org/officeDocument/2006/relationships/image" Target="media/image6.png"/><Relationship Id="rId5" Type="http://schemas.openxmlformats.org/officeDocument/2006/relationships/styles" Target="styles.xml"/><Relationship Id="rId19" Type="http://schemas.openxmlformats.org/officeDocument/2006/relationships/image" Target="media/image10.png"/><Relationship Id="rId6" Type="http://schemas.openxmlformats.org/officeDocument/2006/relationships/image" Target="media/image15.png"/><Relationship Id="rId18" Type="http://schemas.openxmlformats.org/officeDocument/2006/relationships/image" Target="media/image12.png"/><Relationship Id="rId7" Type="http://schemas.openxmlformats.org/officeDocument/2006/relationships/image" Target="media/image18.png"/><Relationship Id="rId8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